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0B34D" w14:textId="761D0F33" w:rsidR="0009327B" w:rsidRDefault="00920085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 xml:space="preserve">  </w:t>
      </w:r>
      <w:r>
        <w:rPr>
          <w:rFonts w:ascii="Calibri" w:eastAsia="SimSun" w:hAnsi="Calibri" w:hint="eastAsia"/>
          <w:lang w:val="en-US" w:eastAsia="zh-CN"/>
        </w:rPr>
        <w:t>ENG</w:t>
      </w:r>
      <w:r>
        <w:rPr>
          <w:rFonts w:ascii="Calibri" w:hAnsi="Calibri"/>
        </w:rPr>
        <w:t>1</w:t>
      </w:r>
      <w:r>
        <w:rPr>
          <w:rFonts w:ascii="Calibri" w:eastAsia="SimSun" w:hAnsi="Calibri" w:hint="eastAsia"/>
          <w:lang w:val="en-US" w:eastAsia="zh-CN"/>
        </w:rPr>
        <w:t>9</w:t>
      </w:r>
      <w:r>
        <w:rPr>
          <w:rFonts w:ascii="Calibri" w:hAnsi="Calibri"/>
        </w:rPr>
        <w:t>-3.1.3.3</w:t>
      </w:r>
    </w:p>
    <w:p w14:paraId="1680B34E" w14:textId="77777777" w:rsidR="0009327B" w:rsidRDefault="0009327B">
      <w:pPr>
        <w:pStyle w:val="BodyText"/>
        <w:tabs>
          <w:tab w:val="left" w:pos="2835"/>
        </w:tabs>
        <w:rPr>
          <w:rFonts w:ascii="Calibri" w:hAnsi="Calibri"/>
        </w:rPr>
      </w:pPr>
    </w:p>
    <w:p w14:paraId="1680B34F" w14:textId="77777777" w:rsidR="0009327B" w:rsidRDefault="0009327B">
      <w:pPr>
        <w:pStyle w:val="BodyText"/>
        <w:tabs>
          <w:tab w:val="left" w:pos="2835"/>
        </w:tabs>
        <w:rPr>
          <w:rFonts w:ascii="Calibri" w:hAnsi="Calibri"/>
        </w:rPr>
      </w:pPr>
    </w:p>
    <w:p w14:paraId="1680B350" w14:textId="77777777" w:rsidR="0009327B" w:rsidRDefault="00920085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1680B351" w14:textId="77777777" w:rsidR="0009327B" w:rsidRDefault="00920085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r>
        <w:rPr>
          <w:rFonts w:ascii="Calibri" w:eastAsia="SimSun" w:hAnsi="Calibri" w:cs="Arial" w:hint="eastAsia"/>
          <w:b/>
          <w:sz w:val="24"/>
          <w:szCs w:val="24"/>
          <w:lang w:eastAsia="zh-CN"/>
        </w:rPr>
        <w:t>☑</w:t>
      </w:r>
      <w:r>
        <w:rPr>
          <w:rFonts w:ascii="Calibri" w:eastAsia="SimSun" w:hAnsi="Calibri" w:cs="Arial" w:hint="eastAsia"/>
          <w:b/>
          <w:sz w:val="24"/>
          <w:szCs w:val="24"/>
          <w:lang w:val="en-US" w:eastAsia="zh-CN"/>
        </w:rPr>
        <w:t xml:space="preserve">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1680B352" w14:textId="77777777" w:rsidR="0009327B" w:rsidRDefault="00920085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1680B353" w14:textId="77777777" w:rsidR="0009327B" w:rsidRDefault="0009327B">
      <w:pPr>
        <w:pStyle w:val="BodyText"/>
        <w:tabs>
          <w:tab w:val="left" w:pos="2835"/>
        </w:tabs>
        <w:rPr>
          <w:rFonts w:ascii="Calibri" w:hAnsi="Calibri"/>
        </w:rPr>
      </w:pPr>
    </w:p>
    <w:p w14:paraId="1680B354" w14:textId="77777777" w:rsidR="0009327B" w:rsidRDefault="00920085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n.n</w:t>
      </w:r>
      <w:proofErr w:type="spellEnd"/>
    </w:p>
    <w:p w14:paraId="1680B355" w14:textId="77777777" w:rsidR="0009327B" w:rsidRDefault="00920085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</w:t>
      </w:r>
      <w:r>
        <w:rPr>
          <w:rFonts w:ascii="Calibri" w:eastAsia="SimSun" w:hAnsi="Calibri" w:hint="eastAsia"/>
          <w:lang w:val="en-US" w:eastAsia="zh-CN"/>
        </w:rPr>
        <w:t>2.6.6</w:t>
      </w:r>
      <w:r>
        <w:rPr>
          <w:rFonts w:ascii="Calibri" w:hAnsi="Calibri"/>
        </w:rPr>
        <w:t>……………………</w:t>
      </w:r>
    </w:p>
    <w:p w14:paraId="1680B356" w14:textId="77777777" w:rsidR="0009327B" w:rsidRDefault="00920085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eastAsia="SimSun" w:hAnsi="Calibri" w:hint="eastAsia"/>
          <w:lang w:val="en-US" w:eastAsia="zh-CN"/>
        </w:rPr>
        <w:t>China MSA</w:t>
      </w:r>
    </w:p>
    <w:p w14:paraId="1680B357" w14:textId="77777777" w:rsidR="0009327B" w:rsidRDefault="0009327B">
      <w:pPr>
        <w:pStyle w:val="BodyText"/>
        <w:tabs>
          <w:tab w:val="left" w:pos="2835"/>
        </w:tabs>
        <w:rPr>
          <w:rFonts w:ascii="Calibri" w:hAnsi="Calibri"/>
        </w:rPr>
      </w:pPr>
    </w:p>
    <w:p w14:paraId="1680B358" w14:textId="77777777" w:rsidR="0009327B" w:rsidRDefault="00920085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Proposals </w:t>
      </w:r>
      <w:r>
        <w:rPr>
          <w:rFonts w:ascii="Calibri" w:hAnsi="Calibri" w:hint="eastAsia"/>
          <w:color w:val="0070C0"/>
        </w:rPr>
        <w:t xml:space="preserve">for updating G1063 on </w:t>
      </w:r>
    </w:p>
    <w:p w14:paraId="1680B359" w14:textId="77777777" w:rsidR="0009327B" w:rsidRDefault="00920085">
      <w:pPr>
        <w:pStyle w:val="Title"/>
        <w:rPr>
          <w:rFonts w:ascii="Calibri" w:eastAsia="SimSun" w:hAnsi="Calibri"/>
          <w:color w:val="0070C0"/>
          <w:lang w:val="en-US" w:eastAsia="zh-CN"/>
        </w:rPr>
      </w:pPr>
      <w:r>
        <w:rPr>
          <w:rFonts w:ascii="Calibri" w:hAnsi="Calibri" w:hint="eastAsia"/>
          <w:color w:val="0070C0"/>
        </w:rPr>
        <w:t>Agreements for Complementary use of Lighthouse</w:t>
      </w:r>
      <w:r>
        <w:rPr>
          <w:rFonts w:ascii="Calibri" w:eastAsia="SimSun" w:hAnsi="Calibri" w:hint="eastAsia"/>
          <w:color w:val="0070C0"/>
          <w:lang w:val="en-US" w:eastAsia="zh-CN"/>
        </w:rPr>
        <w:t>s</w:t>
      </w:r>
    </w:p>
    <w:p w14:paraId="1680B35A" w14:textId="77777777" w:rsidR="0009327B" w:rsidRDefault="00920085">
      <w:pPr>
        <w:pStyle w:val="Heading1"/>
      </w:pPr>
      <w:r>
        <w:t>Summary</w:t>
      </w:r>
    </w:p>
    <w:p w14:paraId="1680B35B" w14:textId="77777777" w:rsidR="0009327B" w:rsidRDefault="0092008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78th Council of IALA reviewed and approved the 2023-2027 work </w:t>
      </w:r>
      <w:proofErr w:type="spellStart"/>
      <w:r>
        <w:rPr>
          <w:rFonts w:ascii="Calibri" w:eastAsia="SimSun" w:hAnsi="Calibri" w:hint="eastAsia"/>
          <w:lang w:val="en-US" w:eastAsia="zh-CN"/>
        </w:rPr>
        <w:t>programme</w:t>
      </w:r>
      <w:proofErr w:type="spellEnd"/>
      <w:r>
        <w:rPr>
          <w:rFonts w:ascii="Calibri" w:eastAsia="SimSun" w:hAnsi="Calibri" w:hint="eastAsia"/>
          <w:lang w:val="en-US" w:eastAsia="zh-CN"/>
        </w:rPr>
        <w:t>, which includes the G1063 updated work planned by the ENG Committee. According to the arrangement of ENG committee WG3, China MSA is responsible for updating G1063 and forming a revised draft for committee review.</w:t>
      </w:r>
    </w:p>
    <w:p w14:paraId="1680B35C" w14:textId="77777777" w:rsidR="0009327B" w:rsidRDefault="00920085">
      <w:pPr>
        <w:pStyle w:val="Heading2"/>
      </w:pPr>
      <w:r>
        <w:t>Purpose of the document</w:t>
      </w:r>
    </w:p>
    <w:p w14:paraId="1680B35D" w14:textId="77777777" w:rsidR="0009327B" w:rsidRDefault="00920085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To update G1063 on Agreements for Complementary use of Lighthouses. </w:t>
      </w:r>
    </w:p>
    <w:p w14:paraId="1680B35E" w14:textId="77777777" w:rsidR="0009327B" w:rsidRDefault="00920085">
      <w:pPr>
        <w:pStyle w:val="Heading2"/>
      </w:pPr>
      <w:r>
        <w:t>Related documents</w:t>
      </w:r>
    </w:p>
    <w:p w14:paraId="1680B35F" w14:textId="77777777" w:rsidR="0009327B" w:rsidRDefault="00920085">
      <w:pPr>
        <w:pStyle w:val="References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IALA. Guideline G1063 on Agreements for Complementary use of Lighthouses</w:t>
      </w:r>
    </w:p>
    <w:p w14:paraId="1680B360" w14:textId="77777777" w:rsidR="0009327B" w:rsidRDefault="00920085">
      <w:pPr>
        <w:pStyle w:val="References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IALA-committee-work-programme-2023-2027</w:t>
      </w:r>
    </w:p>
    <w:p w14:paraId="1680B361" w14:textId="77777777" w:rsidR="0009327B" w:rsidRDefault="00920085">
      <w:pPr>
        <w:pStyle w:val="Heading1"/>
      </w:pPr>
      <w:r>
        <w:t>Background</w:t>
      </w:r>
    </w:p>
    <w:p w14:paraId="1680B362" w14:textId="77777777" w:rsidR="0009327B" w:rsidRDefault="00920085">
      <w:pPr>
        <w:jc w:val="both"/>
      </w:pPr>
      <w:proofErr w:type="gramStart"/>
      <w:r>
        <w:rPr>
          <w:rFonts w:ascii="Calibri" w:eastAsia="SimSun" w:hAnsi="Calibri" w:hint="eastAsia"/>
          <w:color w:val="000000"/>
          <w:lang w:val="en-US" w:eastAsia="zh-CN" w:bidi="ar"/>
        </w:rPr>
        <w:t>In order to</w:t>
      </w:r>
      <w:proofErr w:type="gramEnd"/>
      <w:r>
        <w:rPr>
          <w:rFonts w:ascii="Calibri" w:eastAsia="SimSun" w:hAnsi="Calibri" w:hint="eastAsia"/>
          <w:color w:val="000000"/>
          <w:lang w:val="en-US" w:eastAsia="zh-CN" w:bidi="ar"/>
        </w:rPr>
        <w:t xml:space="preserve"> help lighthouse authorities leverage operational, commercial or reputational benefits from the historical and cultural significance of a property, G1063 on Agreements for Complementary use of Lighthouses has been discussed and revised led by China MSA in and after ENG17 and ENG18, combined with </w:t>
      </w:r>
      <w:r>
        <w:rPr>
          <w:rFonts w:ascii="Calibri" w:eastAsia="SimSun" w:hAnsi="Calibri" w:hint="eastAsia"/>
          <w:i/>
          <w:iCs/>
          <w:color w:val="000000"/>
          <w:lang w:val="en-US" w:eastAsia="zh-CN" w:bidi="ar"/>
        </w:rPr>
        <w:t>IALA Complementary Lighthouse Use Manual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(Edition2, December 2017), the 3rd revised draft has been formed</w:t>
      </w:r>
      <w:r>
        <w:rPr>
          <w:rFonts w:ascii="Calibri" w:eastAsia="SimSun" w:hAnsi="Calibri"/>
          <w:color w:val="000000"/>
          <w:lang w:val="en-US" w:eastAsia="zh-CN" w:bidi="ar"/>
        </w:rPr>
        <w:t xml:space="preserve">. </w:t>
      </w:r>
    </w:p>
    <w:p w14:paraId="1680B363" w14:textId="77777777" w:rsidR="0009327B" w:rsidRDefault="00920085">
      <w:pPr>
        <w:pStyle w:val="Heading1"/>
      </w:pPr>
      <w:r>
        <w:t>Discussion</w:t>
      </w:r>
    </w:p>
    <w:p w14:paraId="1680B364" w14:textId="77777777" w:rsidR="0009327B" w:rsidRDefault="00920085">
      <w:pPr>
        <w:pStyle w:val="Heading2"/>
      </w:pPr>
      <w:r>
        <w:rPr>
          <w:rFonts w:hint="eastAsia"/>
        </w:rPr>
        <w:t>Add definition of "Complementary use of lighthouse</w:t>
      </w:r>
      <w:r>
        <w:rPr>
          <w:rFonts w:eastAsia="SimSun" w:hint="eastAsia"/>
          <w:lang w:val="en-US" w:eastAsia="zh-CN"/>
        </w:rPr>
        <w:t>s</w:t>
      </w:r>
      <w:r>
        <w:rPr>
          <w:rFonts w:hint="eastAsia"/>
        </w:rPr>
        <w:t>" in "1. INTRODUCTION"</w:t>
      </w:r>
    </w:p>
    <w:p w14:paraId="1680B365" w14:textId="77777777" w:rsidR="0009327B" w:rsidRDefault="0092008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hAnsi="Calibri" w:hint="eastAsia"/>
        </w:rPr>
        <w:t>In ENG17, the working group believed that the scope of "Complementary use of lighthouse</w:t>
      </w:r>
      <w:r>
        <w:rPr>
          <w:rFonts w:ascii="Calibri" w:eastAsia="SimSun" w:hAnsi="Calibri" w:hint="eastAsia"/>
          <w:lang w:val="en-US" w:eastAsia="zh-CN"/>
        </w:rPr>
        <w:t>s</w:t>
      </w:r>
      <w:r>
        <w:rPr>
          <w:rFonts w:ascii="Calibri" w:hAnsi="Calibri" w:hint="eastAsia"/>
        </w:rPr>
        <w:t>" should be determined. In ENG18, the working group discussed the definition of "Complementary use of lighthouse</w:t>
      </w:r>
      <w:r>
        <w:rPr>
          <w:rFonts w:ascii="Calibri" w:eastAsia="SimSun" w:hAnsi="Calibri" w:hint="eastAsia"/>
          <w:lang w:val="en-US" w:eastAsia="zh-CN"/>
        </w:rPr>
        <w:t>s</w:t>
      </w:r>
      <w:r>
        <w:rPr>
          <w:rFonts w:ascii="Calibri" w:hAnsi="Calibri" w:hint="eastAsia"/>
        </w:rPr>
        <w:t>"</w:t>
      </w:r>
      <w:r>
        <w:rPr>
          <w:rFonts w:ascii="Calibri" w:eastAsia="SimSun" w:hAnsi="Calibri" w:hint="eastAsia"/>
          <w:lang w:val="en-US" w:eastAsia="zh-CN"/>
        </w:rPr>
        <w:t>.</w:t>
      </w:r>
    </w:p>
    <w:p w14:paraId="1680B366" w14:textId="77777777" w:rsidR="0009327B" w:rsidRDefault="0092008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"Complementary use of lighthouse", as a technical term emphasized in guidance documents such as G1063, G1075 and </w:t>
      </w:r>
      <w:r>
        <w:rPr>
          <w:rFonts w:ascii="Calibri" w:eastAsia="SimSun" w:hAnsi="Calibri" w:hint="eastAsia"/>
          <w:i/>
          <w:iCs/>
          <w:lang w:val="en-US" w:eastAsia="zh-CN"/>
        </w:rPr>
        <w:t>IALA Complementary Lighthouse Use Manual</w:t>
      </w:r>
      <w:r>
        <w:rPr>
          <w:rFonts w:ascii="Calibri" w:eastAsia="SimSun" w:hAnsi="Calibri" w:hint="eastAsia"/>
          <w:lang w:val="en-US" w:eastAsia="zh-CN"/>
        </w:rPr>
        <w:t xml:space="preserve"> (Edition2, December 2017) of WG3, should have a </w:t>
      </w:r>
      <w:r>
        <w:rPr>
          <w:rFonts w:ascii="Calibri" w:eastAsia="SimSun" w:hAnsi="Calibri" w:hint="eastAsia"/>
          <w:lang w:val="en-US" w:eastAsia="zh-CN"/>
        </w:rPr>
        <w:lastRenderedPageBreak/>
        <w:t>clear definition to help the lighthouse authorities and relevant personnel of WG3 have a clear understanding in the research of related documents.</w:t>
      </w:r>
    </w:p>
    <w:p w14:paraId="1680B367" w14:textId="77777777" w:rsidR="0009327B" w:rsidRDefault="0092008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In this guidance document, "Complementary use of lighthouses" generally refers to explore a lighthouse structure</w:t>
      </w:r>
      <w:r>
        <w:rPr>
          <w:rFonts w:ascii="Calibri" w:eastAsia="SimSun" w:hAnsi="Calibri"/>
          <w:lang w:val="en-US" w:eastAsia="zh-CN"/>
        </w:rPr>
        <w:t>’</w:t>
      </w:r>
      <w:r>
        <w:rPr>
          <w:rFonts w:ascii="Calibri" w:eastAsia="SimSun" w:hAnsi="Calibri" w:hint="eastAsia"/>
          <w:lang w:val="en-US" w:eastAsia="zh-CN"/>
        </w:rPr>
        <w:t>s complementary or alternative uses as a platform for future Aids to Navigation, as an opportunity to exploit spare capacity commercially or as a platform for raising that authority</w:t>
      </w:r>
      <w:r>
        <w:rPr>
          <w:rFonts w:ascii="Calibri" w:eastAsia="SimSun" w:hAnsi="Calibri"/>
          <w:lang w:val="en-US" w:eastAsia="zh-CN"/>
        </w:rPr>
        <w:t>’</w:t>
      </w:r>
      <w:r>
        <w:rPr>
          <w:rFonts w:ascii="Calibri" w:eastAsia="SimSun" w:hAnsi="Calibri" w:hint="eastAsia"/>
          <w:lang w:val="en-US" w:eastAsia="zh-CN"/>
        </w:rPr>
        <w:t>s profile through education, awareness raising or community engagement.</w:t>
      </w:r>
    </w:p>
    <w:p w14:paraId="1680B368" w14:textId="77777777" w:rsidR="0009327B" w:rsidRDefault="00920085">
      <w:pPr>
        <w:pStyle w:val="Heading2"/>
        <w:ind w:left="836"/>
      </w:pPr>
      <w:r>
        <w:rPr>
          <w:rFonts w:eastAsia="SimSun" w:hint="eastAsia"/>
          <w:lang w:val="en-US" w:eastAsia="zh-CN"/>
        </w:rPr>
        <w:t>Add one chapter and adjust the structure of Chapter 5</w:t>
      </w:r>
    </w:p>
    <w:p w14:paraId="1680B369" w14:textId="77777777" w:rsidR="0009327B" w:rsidRDefault="00920085">
      <w:pPr>
        <w:pStyle w:val="Heading3"/>
        <w:rPr>
          <w:rFonts w:ascii="Calibri" w:hAnsi="Calibri"/>
          <w:color w:val="0070C0"/>
          <w:lang w:val="en-US" w:eastAsia="zh-CN"/>
        </w:rPr>
      </w:pPr>
      <w:r>
        <w:rPr>
          <w:rFonts w:ascii="Calibri" w:hAnsi="Calibri"/>
          <w:color w:val="0070C0"/>
          <w:lang w:val="en-US" w:eastAsia="zh-CN"/>
        </w:rPr>
        <w:t xml:space="preserve"> Add</w:t>
      </w:r>
      <w:r>
        <w:rPr>
          <w:rFonts w:ascii="Calibri" w:hAnsi="Calibri" w:hint="eastAsia"/>
          <w:color w:val="0070C0"/>
          <w:lang w:val="en-US" w:eastAsia="zh-CN"/>
        </w:rPr>
        <w:t xml:space="preserve"> chapter </w:t>
      </w:r>
      <w:r>
        <w:rPr>
          <w:rFonts w:ascii="Calibri" w:hAnsi="Calibri"/>
          <w:color w:val="0070C0"/>
          <w:lang w:val="en-US" w:eastAsia="zh-CN"/>
        </w:rPr>
        <w:t>"</w:t>
      </w:r>
      <w:r>
        <w:rPr>
          <w:rFonts w:ascii="Calibri" w:hAnsi="Calibri" w:hint="eastAsia"/>
          <w:color w:val="0070C0"/>
          <w:lang w:val="en-US" w:eastAsia="zh-CN"/>
        </w:rPr>
        <w:t>S</w:t>
      </w:r>
      <w:r>
        <w:rPr>
          <w:rFonts w:ascii="Calibri" w:hAnsi="Calibri"/>
          <w:color w:val="0070C0"/>
          <w:lang w:val="en-US" w:eastAsia="zh-CN"/>
        </w:rPr>
        <w:t xml:space="preserve">cope" </w:t>
      </w:r>
      <w:r>
        <w:rPr>
          <w:rFonts w:ascii="Calibri" w:hAnsi="Calibri" w:hint="eastAsia"/>
          <w:color w:val="0070C0"/>
          <w:lang w:val="en-US" w:eastAsia="zh-CN"/>
        </w:rPr>
        <w:t>in</w:t>
      </w:r>
      <w:r>
        <w:rPr>
          <w:rFonts w:ascii="Calibri" w:hAnsi="Calibri"/>
          <w:color w:val="0070C0"/>
          <w:lang w:val="en-US" w:eastAsia="zh-CN"/>
        </w:rPr>
        <w:t xml:space="preserve"> th</w:t>
      </w:r>
      <w:r>
        <w:rPr>
          <w:rFonts w:ascii="Calibri" w:hAnsi="Calibri" w:hint="eastAsia"/>
          <w:color w:val="0070C0"/>
          <w:lang w:val="en-US" w:eastAsia="zh-CN"/>
        </w:rPr>
        <w:t>is guidance document</w:t>
      </w:r>
    </w:p>
    <w:p w14:paraId="1680B36A" w14:textId="77777777" w:rsidR="0009327B" w:rsidRDefault="00920085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G1063 seeks to provide general guidance on developing and completing agreements for complementary use of lighthouse </w:t>
      </w:r>
      <w:proofErr w:type="gramStart"/>
      <w:r>
        <w:rPr>
          <w:rFonts w:ascii="Calibri" w:eastAsia="SimSun" w:hAnsi="Calibri" w:hint="eastAsia"/>
          <w:lang w:val="en-US" w:eastAsia="zh-CN"/>
        </w:rPr>
        <w:t>property, and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offers some examples of agreements from lighthouse authorities around the world. The main purpose of this document is to assist lighthouse authorities in conserving a lighthouse or related structure, exploring a lighthouse structure</w:t>
      </w:r>
      <w:r>
        <w:rPr>
          <w:rFonts w:ascii="Calibri" w:eastAsia="SimSun" w:hAnsi="Calibri"/>
          <w:lang w:val="en-US" w:eastAsia="zh-CN"/>
        </w:rPr>
        <w:t>’</w:t>
      </w:r>
      <w:r>
        <w:rPr>
          <w:rFonts w:ascii="Calibri" w:eastAsia="SimSun" w:hAnsi="Calibri" w:hint="eastAsia"/>
          <w:lang w:val="en-US" w:eastAsia="zh-CN"/>
        </w:rPr>
        <w:t xml:space="preserve">s complementary or alternative uses, and leveraging operational, commercial or reputational benefits from the historical and cultural significance of a property. </w:t>
      </w:r>
    </w:p>
    <w:p w14:paraId="1680B36B" w14:textId="77777777" w:rsidR="0009327B" w:rsidRDefault="00920085">
      <w:pPr>
        <w:pStyle w:val="Heading3"/>
        <w:rPr>
          <w:rFonts w:ascii="Calibri" w:hAnsi="Calibri"/>
          <w:color w:val="0070C0"/>
          <w:lang w:val="en-US" w:eastAsia="zh-CN"/>
        </w:rPr>
      </w:pPr>
      <w:r>
        <w:rPr>
          <w:rFonts w:ascii="Calibri" w:hAnsi="Calibri"/>
          <w:color w:val="0070C0"/>
          <w:lang w:val="en-US" w:eastAsia="zh-CN"/>
        </w:rPr>
        <w:t xml:space="preserve"> Adjust the structur</w:t>
      </w:r>
      <w:r>
        <w:rPr>
          <w:rFonts w:ascii="Calibri" w:hAnsi="Calibri" w:hint="eastAsia"/>
          <w:color w:val="0070C0"/>
          <w:lang w:val="en-US" w:eastAsia="zh-CN"/>
        </w:rPr>
        <w:t>e of Chapter 5</w:t>
      </w:r>
    </w:p>
    <w:p w14:paraId="1680B36C" w14:textId="77777777" w:rsidR="0009327B" w:rsidRDefault="00920085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In Chapter "5. WHAT SHOULD THE AGREEMENT CONTAIN?", the section "5.1 Rights and Duties" and "5.2 Other relating points" are listed separately. </w:t>
      </w:r>
    </w:p>
    <w:p w14:paraId="1680B36D" w14:textId="77777777" w:rsidR="0009327B" w:rsidRDefault="00920085">
      <w:pPr>
        <w:pStyle w:val="Heading2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>Review "8. ACRONYMS"</w:t>
      </w:r>
    </w:p>
    <w:p w14:paraId="1680B36E" w14:textId="77777777" w:rsidR="0009327B" w:rsidRDefault="00920085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There are a total of 19 acronyms for G1063, of which 1 is in the main chapter of the guidance document, and the other 18 are in the ANNEX. Review the accuracy and meaning of the acronyms.</w:t>
      </w:r>
    </w:p>
    <w:p w14:paraId="1680B36F" w14:textId="77777777" w:rsidR="0009327B" w:rsidRDefault="00920085">
      <w:pPr>
        <w:pStyle w:val="Heading2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>Put a newly-</w:t>
      </w:r>
      <w:proofErr w:type="gramStart"/>
      <w:r>
        <w:rPr>
          <w:rFonts w:eastAsia="SimSun" w:hint="eastAsia"/>
          <w:lang w:val="en-US" w:eastAsia="zh-CN"/>
        </w:rPr>
        <w:t>added  example</w:t>
      </w:r>
      <w:proofErr w:type="gramEnd"/>
      <w:r>
        <w:rPr>
          <w:rFonts w:eastAsia="SimSun" w:hint="eastAsia"/>
          <w:lang w:val="en-US" w:eastAsia="zh-CN"/>
        </w:rPr>
        <w:t xml:space="preserve">  in the ANNEX</w:t>
      </w:r>
    </w:p>
    <w:p w14:paraId="1680B370" w14:textId="77777777" w:rsidR="0009327B" w:rsidRDefault="00920085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  <w:proofErr w:type="gramStart"/>
      <w:r>
        <w:rPr>
          <w:rFonts w:ascii="Calibri" w:eastAsia="SimSun" w:hAnsi="Calibri" w:hint="eastAsia"/>
          <w:lang w:val="en-US" w:eastAsia="zh-CN"/>
        </w:rPr>
        <w:t>In order to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make G1063 more instructive and referential, and enrich the content, "</w:t>
      </w:r>
      <w:proofErr w:type="spellStart"/>
      <w:r>
        <w:rPr>
          <w:rFonts w:ascii="Calibri" w:eastAsia="SimSun" w:hAnsi="Calibri" w:hint="eastAsia"/>
          <w:lang w:val="en-US" w:eastAsia="zh-CN"/>
        </w:rPr>
        <w:t>Licence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Agreement fixed fee model - Trinity House example" is added in the ANNEX.</w:t>
      </w:r>
    </w:p>
    <w:p w14:paraId="1680B371" w14:textId="77777777" w:rsidR="0009327B" w:rsidRDefault="00920085">
      <w:pPr>
        <w:pStyle w:val="Heading1"/>
      </w:pPr>
      <w:r>
        <w:rPr>
          <w:rFonts w:hint="eastAsia"/>
        </w:rPr>
        <w:t>proposa</w:t>
      </w:r>
      <w:r>
        <w:rPr>
          <w:rFonts w:eastAsia="SimSun" w:hint="eastAsia"/>
          <w:lang w:val="en-US" w:eastAsia="zh-CN"/>
        </w:rPr>
        <w:t>l</w:t>
      </w:r>
    </w:p>
    <w:p w14:paraId="1680B372" w14:textId="77777777" w:rsidR="0009327B" w:rsidRDefault="00920085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color w:val="000000"/>
          <w:lang w:val="en-US" w:eastAsia="zh-CN" w:bidi="ar"/>
        </w:rPr>
        <w:t xml:space="preserve">It is proposed that the ENG Committee use draft updated G1063 which is set out in the annex as the basic document for updating G1063. </w:t>
      </w:r>
    </w:p>
    <w:p w14:paraId="1680B373" w14:textId="77777777" w:rsidR="0009327B" w:rsidRDefault="00920085">
      <w:pPr>
        <w:pStyle w:val="Heading1"/>
      </w:pPr>
      <w:r>
        <w:t>References</w:t>
      </w:r>
    </w:p>
    <w:p w14:paraId="1680B374" w14:textId="77777777" w:rsidR="0009327B" w:rsidRDefault="00920085">
      <w:pPr>
        <w:pStyle w:val="References"/>
        <w:numPr>
          <w:ilvl w:val="0"/>
          <w:numId w:val="16"/>
        </w:numPr>
        <w:rPr>
          <w:rFonts w:ascii="Calibri" w:hAnsi="Calibri"/>
          <w:lang w:eastAsia="de-DE"/>
        </w:rPr>
      </w:pPr>
      <w:bookmarkStart w:id="0" w:name="_Hlk95247900"/>
      <w:bookmarkStart w:id="1" w:name="_Hlk95248046"/>
      <w:r>
        <w:rPr>
          <w:rFonts w:ascii="Calibri" w:eastAsia="SimSun" w:hAnsi="Calibri" w:hint="eastAsia"/>
          <w:lang w:val="en-US" w:eastAsia="zh-CN"/>
        </w:rPr>
        <w:t>IALA Complementary Lighthouse Use Manual, 2017</w:t>
      </w:r>
    </w:p>
    <w:bookmarkEnd w:id="0"/>
    <w:bookmarkEnd w:id="1"/>
    <w:p w14:paraId="1680B375" w14:textId="77777777" w:rsidR="0009327B" w:rsidRDefault="00920085">
      <w:pPr>
        <w:pStyle w:val="Heading1"/>
      </w:pPr>
      <w:r>
        <w:t>Action requested of the Committee</w:t>
      </w:r>
    </w:p>
    <w:p w14:paraId="1680B376" w14:textId="77777777" w:rsidR="0009327B" w:rsidRDefault="00920085">
      <w:pPr>
        <w:pStyle w:val="BodyText"/>
        <w:rPr>
          <w:rFonts w:ascii="Calibri" w:hAnsi="Calibri"/>
          <w:lang w:eastAsia="en-US"/>
        </w:rPr>
      </w:pPr>
      <w:r>
        <w:rPr>
          <w:rFonts w:ascii="Calibri" w:hAnsi="Calibri" w:hint="eastAsia"/>
        </w:rPr>
        <w:t xml:space="preserve">The Committee is requested to consider the proposal in section </w:t>
      </w:r>
      <w:proofErr w:type="gramStart"/>
      <w:r>
        <w:rPr>
          <w:rFonts w:ascii="Calibri" w:hAnsi="Calibri" w:hint="eastAsia"/>
        </w:rPr>
        <w:t>4, and</w:t>
      </w:r>
      <w:proofErr w:type="gramEnd"/>
      <w:r>
        <w:rPr>
          <w:rFonts w:ascii="Calibri" w:hAnsi="Calibri" w:hint="eastAsia"/>
        </w:rPr>
        <w:t xml:space="preserve"> take action as appropriate</w:t>
      </w:r>
      <w:r>
        <w:rPr>
          <w:rFonts w:ascii="Calibri" w:eastAsia="SimSun" w:hAnsi="Calibri" w:hint="eastAsia"/>
          <w:lang w:val="en-US" w:eastAsia="zh-CN"/>
        </w:rPr>
        <w:t>.</w:t>
      </w:r>
    </w:p>
    <w:sectPr w:rsidR="0009327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0B37D" w14:textId="77777777" w:rsidR="00920085" w:rsidRDefault="00920085">
      <w:r>
        <w:separator/>
      </w:r>
    </w:p>
  </w:endnote>
  <w:endnote w:type="continuationSeparator" w:id="0">
    <w:p w14:paraId="1680B37F" w14:textId="77777777" w:rsidR="00920085" w:rsidRDefault="0092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 (WN)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0B37A" w14:textId="77777777" w:rsidR="0009327B" w:rsidRDefault="00920085">
    <w:pPr>
      <w:pStyle w:val="Footer"/>
      <w:rPr>
        <w:rFonts w:ascii="Calibri" w:hAnsi="Calibri"/>
      </w:rPr>
    </w:pPr>
    <w:r>
      <w:rPr>
        <w:rFonts w:ascii="Calibri" w:hAnsi="Calibri" w:hint="eastAsia"/>
      </w:rPr>
      <w:t>Proposal for updating G1063 on Agreements for Complementary use of Lighthouses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B377" w14:textId="77777777" w:rsidR="0009327B" w:rsidRDefault="00920085">
      <w:r>
        <w:separator/>
      </w:r>
    </w:p>
  </w:footnote>
  <w:footnote w:type="continuationSeparator" w:id="0">
    <w:p w14:paraId="1680B378" w14:textId="77777777" w:rsidR="0009327B" w:rsidRDefault="00920085">
      <w:r>
        <w:continuationSeparator/>
      </w:r>
    </w:p>
  </w:footnote>
  <w:footnote w:id="1">
    <w:p w14:paraId="1680B37D" w14:textId="77777777" w:rsidR="0009327B" w:rsidRDefault="0009327B">
      <w:pPr>
        <w:pStyle w:val="FootnoteText"/>
        <w:rPr>
          <w:lang w:val="en-US"/>
        </w:rPr>
      </w:pPr>
    </w:p>
  </w:footnote>
  <w:footnote w:id="2">
    <w:p w14:paraId="1680B37E" w14:textId="77777777" w:rsidR="0009327B" w:rsidRDefault="0009327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0B379" w14:textId="77777777" w:rsidR="0009327B" w:rsidRDefault="00920085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80B37B" wp14:editId="1680B37C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6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90705870">
    <w:abstractNumId w:val="2"/>
  </w:num>
  <w:num w:numId="2" w16cid:durableId="732696615">
    <w:abstractNumId w:val="12"/>
  </w:num>
  <w:num w:numId="3" w16cid:durableId="1119686323">
    <w:abstractNumId w:val="8"/>
  </w:num>
  <w:num w:numId="4" w16cid:durableId="64766555">
    <w:abstractNumId w:val="1"/>
  </w:num>
  <w:num w:numId="5" w16cid:durableId="1741365361">
    <w:abstractNumId w:val="14"/>
  </w:num>
  <w:num w:numId="6" w16cid:durableId="491142711">
    <w:abstractNumId w:val="10"/>
  </w:num>
  <w:num w:numId="7" w16cid:durableId="75519093">
    <w:abstractNumId w:val="9"/>
  </w:num>
  <w:num w:numId="8" w16cid:durableId="481460169">
    <w:abstractNumId w:val="7"/>
  </w:num>
  <w:num w:numId="9" w16cid:durableId="509103084">
    <w:abstractNumId w:val="13"/>
  </w:num>
  <w:num w:numId="10" w16cid:durableId="1624574869">
    <w:abstractNumId w:val="6"/>
  </w:num>
  <w:num w:numId="11" w16cid:durableId="1031415820">
    <w:abstractNumId w:val="11"/>
  </w:num>
  <w:num w:numId="12" w16cid:durableId="1457599294">
    <w:abstractNumId w:val="3"/>
  </w:num>
  <w:num w:numId="13" w16cid:durableId="1999528248">
    <w:abstractNumId w:val="4"/>
  </w:num>
  <w:num w:numId="14" w16cid:durableId="200939082">
    <w:abstractNumId w:val="5"/>
  </w:num>
  <w:num w:numId="15" w16cid:durableId="126053208">
    <w:abstractNumId w:val="0"/>
  </w:num>
  <w:num w:numId="16" w16cid:durableId="1562517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kyZGJmZjFjMWUzMzMwYWJhODA4MGM5ZTI3NDgzYjIifQ=="/>
  </w:docVars>
  <w:rsids>
    <w:rsidRoot w:val="00FE5674"/>
    <w:rsid w:val="BEF576CC"/>
    <w:rsid w:val="EADE9919"/>
    <w:rsid w:val="F6B5C350"/>
    <w:rsid w:val="FB5F133F"/>
    <w:rsid w:val="FFFD37B4"/>
    <w:rsid w:val="000005D3"/>
    <w:rsid w:val="000049D8"/>
    <w:rsid w:val="00036A03"/>
    <w:rsid w:val="00036B9E"/>
    <w:rsid w:val="00036D03"/>
    <w:rsid w:val="00037DF4"/>
    <w:rsid w:val="0004700E"/>
    <w:rsid w:val="00070C13"/>
    <w:rsid w:val="000715C9"/>
    <w:rsid w:val="000773AC"/>
    <w:rsid w:val="00084F33"/>
    <w:rsid w:val="0009327B"/>
    <w:rsid w:val="000A77A7"/>
    <w:rsid w:val="000B1707"/>
    <w:rsid w:val="000C1B3E"/>
    <w:rsid w:val="000C349E"/>
    <w:rsid w:val="000E06A1"/>
    <w:rsid w:val="000F2584"/>
    <w:rsid w:val="000F72BA"/>
    <w:rsid w:val="00105F67"/>
    <w:rsid w:val="00110AE7"/>
    <w:rsid w:val="001414D5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2C15"/>
    <w:rsid w:val="002A32C2"/>
    <w:rsid w:val="002A4487"/>
    <w:rsid w:val="002B49E9"/>
    <w:rsid w:val="002C632E"/>
    <w:rsid w:val="002C7BF3"/>
    <w:rsid w:val="002D3E8B"/>
    <w:rsid w:val="002D4575"/>
    <w:rsid w:val="002D5C0C"/>
    <w:rsid w:val="002E03D1"/>
    <w:rsid w:val="002E32C2"/>
    <w:rsid w:val="002E6B74"/>
    <w:rsid w:val="002E6FCA"/>
    <w:rsid w:val="003039D6"/>
    <w:rsid w:val="00337934"/>
    <w:rsid w:val="00356CD0"/>
    <w:rsid w:val="00362CD9"/>
    <w:rsid w:val="003761CA"/>
    <w:rsid w:val="00380DAF"/>
    <w:rsid w:val="00382154"/>
    <w:rsid w:val="003972CE"/>
    <w:rsid w:val="003B28F5"/>
    <w:rsid w:val="003B7B7D"/>
    <w:rsid w:val="003C54CB"/>
    <w:rsid w:val="003C7A2A"/>
    <w:rsid w:val="003D2508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3632C"/>
    <w:rsid w:val="004661AD"/>
    <w:rsid w:val="004807AB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6290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2BB6"/>
    <w:rsid w:val="00605E43"/>
    <w:rsid w:val="006153BB"/>
    <w:rsid w:val="00620633"/>
    <w:rsid w:val="00624475"/>
    <w:rsid w:val="00641982"/>
    <w:rsid w:val="00655926"/>
    <w:rsid w:val="006652C3"/>
    <w:rsid w:val="0068147A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7BC5"/>
    <w:rsid w:val="00783FEA"/>
    <w:rsid w:val="007A395D"/>
    <w:rsid w:val="007B6BD5"/>
    <w:rsid w:val="007C346C"/>
    <w:rsid w:val="007D554E"/>
    <w:rsid w:val="007E6479"/>
    <w:rsid w:val="0080294B"/>
    <w:rsid w:val="00806585"/>
    <w:rsid w:val="0082480E"/>
    <w:rsid w:val="00844758"/>
    <w:rsid w:val="00850293"/>
    <w:rsid w:val="00851373"/>
    <w:rsid w:val="00851BA6"/>
    <w:rsid w:val="00853898"/>
    <w:rsid w:val="0085654D"/>
    <w:rsid w:val="00861160"/>
    <w:rsid w:val="0086654F"/>
    <w:rsid w:val="008917BB"/>
    <w:rsid w:val="008A356F"/>
    <w:rsid w:val="008A4653"/>
    <w:rsid w:val="008A4717"/>
    <w:rsid w:val="008A50CC"/>
    <w:rsid w:val="008B3040"/>
    <w:rsid w:val="008C51F1"/>
    <w:rsid w:val="008D1694"/>
    <w:rsid w:val="008D79CB"/>
    <w:rsid w:val="008E1821"/>
    <w:rsid w:val="008F07BC"/>
    <w:rsid w:val="00920085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3BF4"/>
    <w:rsid w:val="0099161D"/>
    <w:rsid w:val="00997303"/>
    <w:rsid w:val="009C76B0"/>
    <w:rsid w:val="009D23B3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1B71"/>
    <w:rsid w:val="00BC2334"/>
    <w:rsid w:val="00BD3CB8"/>
    <w:rsid w:val="00BD4E6F"/>
    <w:rsid w:val="00BF32F0"/>
    <w:rsid w:val="00BF4DCE"/>
    <w:rsid w:val="00C05CE5"/>
    <w:rsid w:val="00C6171E"/>
    <w:rsid w:val="00CA6F2C"/>
    <w:rsid w:val="00CC6CF3"/>
    <w:rsid w:val="00CD1C35"/>
    <w:rsid w:val="00CD6A13"/>
    <w:rsid w:val="00CF1871"/>
    <w:rsid w:val="00D01874"/>
    <w:rsid w:val="00D019CE"/>
    <w:rsid w:val="00D1133E"/>
    <w:rsid w:val="00D17A34"/>
    <w:rsid w:val="00D20620"/>
    <w:rsid w:val="00D26628"/>
    <w:rsid w:val="00D332B3"/>
    <w:rsid w:val="00D34627"/>
    <w:rsid w:val="00D55207"/>
    <w:rsid w:val="00D81801"/>
    <w:rsid w:val="00D92B45"/>
    <w:rsid w:val="00D95962"/>
    <w:rsid w:val="00DA007A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74740"/>
    <w:rsid w:val="00E912A6"/>
    <w:rsid w:val="00EA4844"/>
    <w:rsid w:val="00EA4D9C"/>
    <w:rsid w:val="00EA5A97"/>
    <w:rsid w:val="00EB2248"/>
    <w:rsid w:val="00EB75EE"/>
    <w:rsid w:val="00EE3CC5"/>
    <w:rsid w:val="00EE433B"/>
    <w:rsid w:val="00EE4C1D"/>
    <w:rsid w:val="00EF3685"/>
    <w:rsid w:val="00F04350"/>
    <w:rsid w:val="00F131FF"/>
    <w:rsid w:val="00F133DB"/>
    <w:rsid w:val="00F159EB"/>
    <w:rsid w:val="00F25BF4"/>
    <w:rsid w:val="00F267DB"/>
    <w:rsid w:val="00F46F6F"/>
    <w:rsid w:val="00F56308"/>
    <w:rsid w:val="00F60608"/>
    <w:rsid w:val="00F62217"/>
    <w:rsid w:val="00FB17A9"/>
    <w:rsid w:val="00FB527C"/>
    <w:rsid w:val="00FB6F75"/>
    <w:rsid w:val="00FC0EB3"/>
    <w:rsid w:val="00FD675E"/>
    <w:rsid w:val="00FE5674"/>
    <w:rsid w:val="01464A94"/>
    <w:rsid w:val="02323B37"/>
    <w:rsid w:val="04CE1F73"/>
    <w:rsid w:val="0B7865A0"/>
    <w:rsid w:val="12730A42"/>
    <w:rsid w:val="12C10A21"/>
    <w:rsid w:val="135A3C33"/>
    <w:rsid w:val="1D4027C2"/>
    <w:rsid w:val="1D8D2573"/>
    <w:rsid w:val="20E029BA"/>
    <w:rsid w:val="20E859A8"/>
    <w:rsid w:val="21954E65"/>
    <w:rsid w:val="23D15F52"/>
    <w:rsid w:val="27C70597"/>
    <w:rsid w:val="27CC7A25"/>
    <w:rsid w:val="2D745FBE"/>
    <w:rsid w:val="2EA76B62"/>
    <w:rsid w:val="2F2E219A"/>
    <w:rsid w:val="2FB56510"/>
    <w:rsid w:val="33C52A5C"/>
    <w:rsid w:val="36411E72"/>
    <w:rsid w:val="387E0FDF"/>
    <w:rsid w:val="39ED6A5C"/>
    <w:rsid w:val="3B975578"/>
    <w:rsid w:val="3D2A7CD4"/>
    <w:rsid w:val="405C6B25"/>
    <w:rsid w:val="41850217"/>
    <w:rsid w:val="4A37360B"/>
    <w:rsid w:val="4C4C5ADB"/>
    <w:rsid w:val="4CE735EF"/>
    <w:rsid w:val="4D1A3279"/>
    <w:rsid w:val="51EC02FC"/>
    <w:rsid w:val="57BF2637"/>
    <w:rsid w:val="5A5D758C"/>
    <w:rsid w:val="5AD86CD3"/>
    <w:rsid w:val="5FBA1434"/>
    <w:rsid w:val="62167C5B"/>
    <w:rsid w:val="625E5672"/>
    <w:rsid w:val="666557B4"/>
    <w:rsid w:val="66AA456F"/>
    <w:rsid w:val="66CD7565"/>
    <w:rsid w:val="69540E1C"/>
    <w:rsid w:val="6C9F0C7D"/>
    <w:rsid w:val="70FB191A"/>
    <w:rsid w:val="742E7F7F"/>
    <w:rsid w:val="747D5A5B"/>
    <w:rsid w:val="74E62DB7"/>
    <w:rsid w:val="76F86C1E"/>
    <w:rsid w:val="777308B0"/>
    <w:rsid w:val="7BEB77A1"/>
    <w:rsid w:val="7BF72D0D"/>
    <w:rsid w:val="7C566561"/>
    <w:rsid w:val="7D7C6150"/>
    <w:rsid w:val="7DF71720"/>
    <w:rsid w:val="7F0D0D5D"/>
    <w:rsid w:val="7F74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80B34D"/>
  <w15:docId w15:val="{E790F78B-0F69-4AB2-832C-805515F0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semiHidden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TOC5">
    <w:name w:val="toc 5"/>
    <w:basedOn w:val="Normal"/>
    <w:next w:val="Normal"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TOC6">
    <w:name w:val="toc 6"/>
    <w:basedOn w:val="Normal"/>
    <w:next w:val="Normal"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semiHidden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qFormat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qFormat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qFormat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qFormat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qFormat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qFormat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qFormat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qFormat/>
    <w:rPr>
      <w:rFonts w:ascii="Arial" w:hAnsi="Arial" w:cs="Calibri"/>
      <w:szCs w:val="20"/>
      <w:lang w:val="de-DE" w:eastAsia="de-DE"/>
    </w:rPr>
  </w:style>
  <w:style w:type="paragraph" w:customStyle="1" w:styleId="List1">
    <w:name w:val="List 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hAnsi="Arial" w:cs="Calibri"/>
      <w:b/>
      <w:bCs/>
    </w:rPr>
  </w:style>
  <w:style w:type="paragraph" w:customStyle="1" w:styleId="Body">
    <w:name w:val="Body"/>
    <w:qFormat/>
    <w:rPr>
      <w:rFonts w:ascii="CG Times (WN)" w:eastAsia="CG Times (WN)" w:hAnsi="CG Times (WN)" w:cs="CG Times (WN)"/>
      <w:color w:val="000000"/>
      <w:sz w:val="24"/>
      <w:szCs w:val="24"/>
      <w:u w:color="000000"/>
    </w:rPr>
  </w:style>
  <w:style w:type="paragraph" w:customStyle="1" w:styleId="1">
    <w:name w:val="修订1"/>
    <w:hidden/>
    <w:uiPriority w:val="99"/>
    <w:unhideWhenUsed/>
    <w:qFormat/>
    <w:rPr>
      <w:rFonts w:ascii="Arial" w:eastAsia="Calibri" w:hAnsi="Arial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2</cp:revision>
  <dcterms:created xsi:type="dcterms:W3CDTF">2024-09-27T08:09:00Z</dcterms:created>
  <dcterms:modified xsi:type="dcterms:W3CDTF">2024-09-27T08:09:00Z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KSOProductBuildVer">
    <vt:lpwstr>2052-12.1.0.17857</vt:lpwstr>
  </property>
  <property fmtid="{D5CDD505-2E9C-101B-9397-08002B2CF9AE}" pid="5" name="ICV">
    <vt:lpwstr>5FD31FF3079A4D44AE87CF47B178509E_13</vt:lpwstr>
  </property>
</Properties>
</file>